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B9249" w14:textId="77777777" w:rsidR="00172CB8" w:rsidRPr="00AA0CBA" w:rsidRDefault="00172CB8" w:rsidP="00172CB8">
      <w:pPr>
        <w:spacing w:beforeLines="50" w:before="156" w:line="580" w:lineRule="exact"/>
        <w:rPr>
          <w:rFonts w:ascii="仿宋_GB2312" w:eastAsia="仿宋_GB2312" w:hAnsi="宋体" w:cs="宋体" w:hint="eastAsia"/>
          <w:sz w:val="32"/>
          <w:szCs w:val="32"/>
        </w:rPr>
      </w:pPr>
      <w:r w:rsidRPr="00AA0CBA">
        <w:rPr>
          <w:rFonts w:ascii="仿宋_GB2312" w:eastAsia="仿宋_GB2312" w:hAnsi="宋体" w:cs="宋体" w:hint="eastAsia"/>
          <w:sz w:val="32"/>
          <w:szCs w:val="32"/>
        </w:rPr>
        <w:t>附件：</w:t>
      </w:r>
    </w:p>
    <w:p w14:paraId="6217E225" w14:textId="77777777" w:rsidR="00172CB8" w:rsidRDefault="00172CB8" w:rsidP="00172CB8">
      <w:pPr>
        <w:spacing w:beforeLines="50" w:before="156"/>
        <w:jc w:val="center"/>
        <w:rPr>
          <w:rFonts w:ascii="方正小标宋简体" w:eastAsia="方正小标宋简体" w:hAnsi="宋体" w:cs="宋体"/>
          <w:sz w:val="36"/>
          <w:szCs w:val="36"/>
        </w:rPr>
      </w:pPr>
      <w:bookmarkStart w:id="0" w:name="_Hlk49346991"/>
      <w:r w:rsidRPr="00D83789">
        <w:rPr>
          <w:rFonts w:ascii="方正小标宋简体" w:eastAsia="方正小标宋简体" w:hAnsi="宋体" w:cs="宋体" w:hint="eastAsia"/>
          <w:sz w:val="36"/>
          <w:szCs w:val="36"/>
        </w:rPr>
        <w:t>人力资源和社会保障培训安排表</w:t>
      </w:r>
    </w:p>
    <w:bookmarkEnd w:id="0"/>
    <w:p w14:paraId="494B874C" w14:textId="77777777" w:rsidR="00172CB8" w:rsidRPr="00D83789" w:rsidRDefault="00172CB8" w:rsidP="00172CB8">
      <w:pPr>
        <w:spacing w:beforeLines="50" w:before="156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</w:p>
    <w:p w14:paraId="719250FD" w14:textId="77777777" w:rsidR="00172CB8" w:rsidRPr="00AA0CBA" w:rsidRDefault="00172CB8" w:rsidP="00172CB8">
      <w:pPr>
        <w:spacing w:beforeLines="50" w:before="156"/>
        <w:rPr>
          <w:rFonts w:ascii="楷体_GB2312" w:eastAsia="楷体_GB2312" w:hAnsi="宋体" w:cs="宋体" w:hint="eastAsia"/>
          <w:b/>
          <w:bCs/>
          <w:sz w:val="28"/>
          <w:szCs w:val="28"/>
        </w:rPr>
      </w:pPr>
      <w:r w:rsidRPr="00AA0CBA">
        <w:rPr>
          <w:rFonts w:ascii="楷体_GB2312" w:eastAsia="楷体_GB2312" w:hAnsi="宋体" w:cs="宋体" w:hint="eastAsia"/>
          <w:b/>
          <w:bCs/>
          <w:sz w:val="28"/>
          <w:szCs w:val="28"/>
        </w:rPr>
        <w:t>第一期：劳动保障法规政策专题培训（9月15日至10月5日）</w:t>
      </w:r>
    </w:p>
    <w:tbl>
      <w:tblPr>
        <w:tblpPr w:leftFromText="180" w:rightFromText="180" w:vertAnchor="text" w:horzAnchor="page" w:tblpXSpec="center" w:tblpY="307"/>
        <w:tblOverlap w:val="never"/>
        <w:tblW w:w="9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849"/>
        <w:gridCol w:w="567"/>
        <w:gridCol w:w="4536"/>
        <w:gridCol w:w="992"/>
      </w:tblGrid>
      <w:tr w:rsidR="00172CB8" w:rsidRPr="00FC49C2" w14:paraId="34F61D16" w14:textId="77777777" w:rsidTr="008563BC">
        <w:trPr>
          <w:trHeight w:val="674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9E6B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47DB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科目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734F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sz w:val="24"/>
              </w:rPr>
              <w:t>学时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7A1A7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内容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146CE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授课教师</w:t>
            </w:r>
          </w:p>
        </w:tc>
      </w:tr>
      <w:tr w:rsidR="00172CB8" w:rsidRPr="00FC49C2" w14:paraId="40CA4B85" w14:textId="77777777" w:rsidTr="008563BC">
        <w:trPr>
          <w:trHeight w:val="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69D12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4B1B4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社会保险缴费政策解析-1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20B07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DCDB4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（一）一年来社保缴费政策变化介绍与解析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（二）疫情期间社保“缓、免、减”政策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95B24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程奕</w:t>
            </w:r>
          </w:p>
        </w:tc>
      </w:tr>
      <w:tr w:rsidR="00172CB8" w:rsidRPr="00FC49C2" w14:paraId="3D201B35" w14:textId="77777777" w:rsidTr="008563BC">
        <w:trPr>
          <w:trHeight w:val="12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0062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9FCE3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社会保险缴费政策解析-2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752B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C8CBF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（三）工龄认定与视同缴费年限认定政策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（四）特殊人群的社保缴费政策及各地趋势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（五）合法合理节约社保缴费的用工措施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05A2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375EA617" w14:textId="77777777" w:rsidTr="008563BC">
        <w:trPr>
          <w:trHeight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0963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EE31D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养老保险政策介绍与实务处理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BBF6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AB387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（一）基本养老保险的缴费政策介绍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（二）基本养老保险待遇领取政策介绍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（三）异常情况的处理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6051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049A6237" w14:textId="77777777" w:rsidTr="008563BC">
        <w:trPr>
          <w:trHeight w:val="9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68CB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0D91E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医疗保险政策与实务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613D0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2EA13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（一）医疗保险就医政策与案例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（二）医疗保险异地就医政策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AE11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许东黎</w:t>
            </w:r>
          </w:p>
        </w:tc>
      </w:tr>
      <w:tr w:rsidR="00172CB8" w:rsidRPr="00FC49C2" w14:paraId="119F257F" w14:textId="77777777" w:rsidTr="008563BC">
        <w:trPr>
          <w:trHeight w:val="11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7B3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1153D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失业保险与就业促进优惠政策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8AA7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060E3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（一）失业保险缴费政策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（二）失业保险待遇政策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（三）失业保险与促进就业相关优惠政策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1AD39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孙林</w:t>
            </w:r>
          </w:p>
        </w:tc>
      </w:tr>
      <w:tr w:rsidR="00172CB8" w:rsidRPr="00FC49C2" w14:paraId="7B18D955" w14:textId="77777777" w:rsidTr="008563BC">
        <w:trPr>
          <w:trHeight w:val="9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E3F0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lastRenderedPageBreak/>
              <w:t>6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574E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工伤认定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23E3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AD48C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（一）参保范围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（二）工伤认定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（三）劳动能力鉴定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8DAA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周欣</w:t>
            </w:r>
          </w:p>
        </w:tc>
      </w:tr>
      <w:tr w:rsidR="00172CB8" w:rsidRPr="00FC49C2" w14:paraId="75A19875" w14:textId="77777777" w:rsidTr="008563BC">
        <w:trPr>
          <w:trHeight w:val="11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69994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E7472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工伤员工管理及风险防范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5FD4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33C2E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（一）工伤待遇支付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（二）劳动合同管理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（三）工伤风险防范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875F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6A4FFADB" w14:textId="77777777" w:rsidTr="008563BC">
        <w:trPr>
          <w:trHeight w:val="1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2AEA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2F0BF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工伤风险管理与盲区指引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A8C14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CBA0D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（一）工伤风险的盲区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（二）商业保险的选择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（三）职业病工伤的防范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A55F2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庚</w:t>
            </w:r>
            <w:proofErr w:type="gramStart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鑫</w:t>
            </w:r>
            <w:proofErr w:type="gramEnd"/>
          </w:p>
        </w:tc>
      </w:tr>
      <w:tr w:rsidR="00172CB8" w:rsidRPr="00FC49C2" w14:paraId="32ADB110" w14:textId="77777777" w:rsidTr="008563BC">
        <w:trPr>
          <w:trHeight w:val="9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78A8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98D18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 xml:space="preserve">用工模式设计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6B2D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3214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（一）非劳动关系用工模式介绍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（二）用工风险防范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8F28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李晓婷</w:t>
            </w:r>
          </w:p>
        </w:tc>
      </w:tr>
    </w:tbl>
    <w:p w14:paraId="4C6E8250" w14:textId="77777777" w:rsidR="00172CB8" w:rsidRPr="00AA0CBA" w:rsidRDefault="00172CB8" w:rsidP="00172CB8">
      <w:pPr>
        <w:spacing w:beforeLines="50" w:before="156"/>
        <w:rPr>
          <w:rFonts w:ascii="楷体_GB2312" w:eastAsia="楷体_GB2312" w:hAnsi="宋体" w:cs="宋体" w:hint="eastAsia"/>
          <w:b/>
          <w:bCs/>
          <w:sz w:val="28"/>
          <w:szCs w:val="28"/>
        </w:rPr>
      </w:pPr>
      <w:r w:rsidRPr="00AA0CBA">
        <w:rPr>
          <w:rFonts w:ascii="楷体_GB2312" w:eastAsia="楷体_GB2312" w:hAnsi="宋体" w:cs="宋体" w:hint="eastAsia"/>
          <w:b/>
          <w:bCs/>
          <w:sz w:val="28"/>
          <w:szCs w:val="28"/>
        </w:rPr>
        <w:t>第二期：劳动关系管理专题培训 （10月10日至10月30日）</w:t>
      </w:r>
    </w:p>
    <w:tbl>
      <w:tblPr>
        <w:tblpPr w:leftFromText="180" w:rightFromText="180" w:vertAnchor="text" w:horzAnchor="page" w:tblpXSpec="center" w:tblpY="274"/>
        <w:tblOverlap w:val="never"/>
        <w:tblW w:w="9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3297"/>
        <w:gridCol w:w="709"/>
        <w:gridCol w:w="3685"/>
        <w:gridCol w:w="1086"/>
      </w:tblGrid>
      <w:tr w:rsidR="00172CB8" w:rsidRPr="00FC49C2" w14:paraId="4279DF3D" w14:textId="77777777" w:rsidTr="008563BC">
        <w:trPr>
          <w:trHeight w:val="962"/>
        </w:trPr>
        <w:tc>
          <w:tcPr>
            <w:tcW w:w="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A0630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C321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科目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A36E2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sz w:val="24"/>
              </w:rPr>
              <w:t>学时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83B1D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内容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0BE8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授课教师</w:t>
            </w:r>
          </w:p>
        </w:tc>
      </w:tr>
      <w:tr w:rsidR="00172CB8" w:rsidRPr="00FC49C2" w14:paraId="3A827128" w14:textId="77777777" w:rsidTr="008563BC">
        <w:trPr>
          <w:trHeight w:val="103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608B7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9415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 xml:space="preserve">劳动关系之——劳动合同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CF09E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7857C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（一）劳动合同订立、履行和变更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（二）劳动合同解除和终止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8C6B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程奕</w:t>
            </w:r>
          </w:p>
          <w:p w14:paraId="3A7BCD5E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6723A9C9" w14:textId="77777777" w:rsidTr="008563BC">
        <w:trPr>
          <w:trHeight w:val="103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BD57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9DA9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 xml:space="preserve">劳动关系之——劳动合同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416A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58379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（三）劳务派遣和非全日制用工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（四）医疗期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1700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6764BFD1" w14:textId="77777777" w:rsidTr="008563BC">
        <w:trPr>
          <w:trHeight w:val="103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57DC7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71B80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 xml:space="preserve">劳动关系之——劳动标准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6E009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D6747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（一）工作时间及工时制度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（二）休息休假制度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FD680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30F6C961" w14:textId="77777777" w:rsidTr="008563BC">
        <w:trPr>
          <w:trHeight w:val="99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FB48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D85B2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劳动关系之——工资与福利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ED1A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E0B9F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（一）工资支付保障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0BAA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094C799C" w14:textId="77777777" w:rsidTr="008563BC">
        <w:trPr>
          <w:trHeight w:val="88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8671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83A9F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劳动关系之——权益保障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DA7F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2D15C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（一）劳动保障监察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6634D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373DEBDB" w14:textId="77777777" w:rsidTr="008563BC">
        <w:trPr>
          <w:trHeight w:val="99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21A3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52AFD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劳动关系之——权益保障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F18C7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68792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（二）劳动人事争议仲裁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BE0D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45030441" w14:textId="77777777" w:rsidTr="008563BC">
        <w:trPr>
          <w:trHeight w:val="103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DF02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3A9FE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劳动仲裁与诉讼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D3F3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F789F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（一）劳动仲裁与诉讼程序梳理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（二）证据规则与举证责任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362D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12359935" w14:textId="77777777" w:rsidTr="008563BC">
        <w:trPr>
          <w:trHeight w:val="99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7160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48094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劳动仲裁与诉讼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58189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7417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（三）劳动争议调解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6F36E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4112E0DA" w14:textId="77777777" w:rsidTr="008563BC">
        <w:trPr>
          <w:trHeight w:val="103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33C5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F281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灵活用工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169D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76B5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（一）灵活用工的模式与运用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（二）灵活用工的法规政策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E1F4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周欣</w:t>
            </w:r>
          </w:p>
        </w:tc>
      </w:tr>
      <w:tr w:rsidR="00172CB8" w:rsidRPr="00FC49C2" w14:paraId="2C303A7C" w14:textId="77777777" w:rsidTr="008563BC">
        <w:trPr>
          <w:trHeight w:val="81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8E0E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9430D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灵活用工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E45F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81A1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（三）灵活用工的实务操作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FA4C1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035AD035" w14:textId="77777777" w:rsidTr="008563BC">
        <w:trPr>
          <w:trHeight w:val="154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06DA1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A9760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新时代用工变革与管控技巧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E083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D93EC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（一）新时代背景下的用工变革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（二）中国用工体系与变革创新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（三）三种模式设计与管理技巧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0A731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庚</w:t>
            </w:r>
            <w:proofErr w:type="gramStart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鑫</w:t>
            </w:r>
            <w:proofErr w:type="gramEnd"/>
          </w:p>
        </w:tc>
      </w:tr>
    </w:tbl>
    <w:p w14:paraId="4DF226B8" w14:textId="77777777" w:rsidR="00172CB8" w:rsidRPr="00AA0CBA" w:rsidRDefault="00172CB8" w:rsidP="00172CB8">
      <w:pPr>
        <w:spacing w:beforeLines="50" w:before="156"/>
        <w:rPr>
          <w:rFonts w:ascii="楷体_GB2312" w:eastAsia="楷体_GB2312" w:hAnsi="宋体" w:cs="宋体" w:hint="eastAsia"/>
          <w:b/>
          <w:bCs/>
          <w:sz w:val="28"/>
          <w:szCs w:val="28"/>
        </w:rPr>
      </w:pPr>
      <w:r w:rsidRPr="00AA0CBA">
        <w:rPr>
          <w:rFonts w:ascii="楷体_GB2312" w:eastAsia="楷体_GB2312" w:hAnsi="宋体" w:cs="宋体" w:hint="eastAsia"/>
          <w:b/>
          <w:bCs/>
          <w:sz w:val="28"/>
          <w:szCs w:val="28"/>
        </w:rPr>
        <w:t>第三期：社保公积金实操专题培训（11月5日至11月25日）</w:t>
      </w:r>
    </w:p>
    <w:tbl>
      <w:tblPr>
        <w:tblW w:w="92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3342"/>
        <w:gridCol w:w="850"/>
        <w:gridCol w:w="3374"/>
        <w:gridCol w:w="1230"/>
      </w:tblGrid>
      <w:tr w:rsidR="00172CB8" w:rsidRPr="00FC49C2" w14:paraId="1450C1A0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433C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3A92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科目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CC55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sz w:val="24"/>
              </w:rPr>
              <w:t>学时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B465D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内容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73A9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授课教师</w:t>
            </w:r>
          </w:p>
        </w:tc>
      </w:tr>
      <w:tr w:rsidR="00172CB8" w:rsidRPr="00FC49C2" w14:paraId="6FDB8C58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0E51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2D9D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单位业务申报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BBF1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E6877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（一）申报流程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（二）操作要点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（三）常见问题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A5CE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吕延</w:t>
            </w:r>
          </w:p>
        </w:tc>
      </w:tr>
      <w:tr w:rsidR="00172CB8" w:rsidRPr="00FC49C2" w14:paraId="7072DBFE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3F83D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72822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职工业务申报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B7060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2EC6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（一）申报流程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（二）操作要点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（三）常见问题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47AA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6E1FF28A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E925E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1D3A1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征缴业务申报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072CD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0E100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（一）申报流程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（二）操作要点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（三）常见问题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499D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李存良</w:t>
            </w:r>
          </w:p>
        </w:tc>
      </w:tr>
      <w:tr w:rsidR="00172CB8" w:rsidRPr="00FC49C2" w14:paraId="50DC919E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8774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5461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其他业务申报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EFC5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40FA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（一）申报流程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（二）操作要点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（三）常见问题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8E59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182536E1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B4A5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FD3AE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公积金业务讲解（一）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89F84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C549B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（一）公积金缴存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（二）公积金提取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6AD5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刘磊</w:t>
            </w:r>
          </w:p>
        </w:tc>
      </w:tr>
      <w:tr w:rsidR="00172CB8" w:rsidRPr="00FC49C2" w14:paraId="3A328BC3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71FC4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A8DB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公积金业务讲解（二）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BE52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2AEB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（一）公积金转移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（二）公积金贷款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52FA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7FCF89AA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88D1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A39C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公积金业务讲解（三）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7292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2E7A1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（一）公积金综合业务概述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（二）公积金综合业务讲解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CEE52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0EF0AF50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142B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8EEA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企业</w:t>
            </w:r>
            <w:proofErr w:type="gramStart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版业务</w:t>
            </w:r>
            <w:proofErr w:type="gramEnd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申报（一）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8286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3BA70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（一）社保数据采集与申报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（二）常见问题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4104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proofErr w:type="gramStart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李冬光</w:t>
            </w:r>
            <w:proofErr w:type="gramEnd"/>
          </w:p>
        </w:tc>
      </w:tr>
      <w:tr w:rsidR="00172CB8" w:rsidRPr="00FC49C2" w14:paraId="375B422A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242C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9181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企业</w:t>
            </w:r>
            <w:proofErr w:type="gramStart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版业务</w:t>
            </w:r>
            <w:proofErr w:type="gramEnd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申报（二）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E535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F3B44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（一）医疗费用报销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（二）常见问题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18EA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03CC5EC2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60B64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FD5C4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企业</w:t>
            </w:r>
            <w:proofErr w:type="gramStart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版业务</w:t>
            </w:r>
            <w:proofErr w:type="gramEnd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申报（三）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8A342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F9C2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（一）学校版软件功能讲解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（二）常见问题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97F10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0F7C6DD9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BF910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ECAAF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企业社保业务培训（</w:t>
            </w:r>
            <w:proofErr w:type="gramStart"/>
            <w:r w:rsidRPr="00FC49C2">
              <w:rPr>
                <w:rFonts w:ascii="仿宋_GB2312" w:eastAsia="仿宋_GB2312" w:hAnsi="宋体" w:cs="宋体" w:hint="eastAsia"/>
                <w:sz w:val="24"/>
              </w:rPr>
              <w:t>五险案例</w:t>
            </w:r>
            <w:proofErr w:type="gramEnd"/>
            <w:r w:rsidRPr="00FC49C2">
              <w:rPr>
                <w:rFonts w:ascii="仿宋_GB2312" w:eastAsia="仿宋_GB2312" w:hAnsi="宋体" w:cs="宋体" w:hint="eastAsia"/>
                <w:sz w:val="24"/>
              </w:rPr>
              <w:t>解析）（一）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25652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4AD9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（一）养老保险</w:t>
            </w:r>
          </w:p>
          <w:p w14:paraId="39C2567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（二）失业保险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C52A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殷实</w:t>
            </w:r>
          </w:p>
        </w:tc>
      </w:tr>
      <w:tr w:rsidR="00172CB8" w:rsidRPr="00FC49C2" w14:paraId="380834F8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EDDE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7FA6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企业社保业务培训（</w:t>
            </w:r>
            <w:proofErr w:type="gramStart"/>
            <w:r w:rsidRPr="00FC49C2">
              <w:rPr>
                <w:rFonts w:ascii="仿宋_GB2312" w:eastAsia="仿宋_GB2312" w:hAnsi="宋体" w:cs="宋体" w:hint="eastAsia"/>
                <w:sz w:val="24"/>
              </w:rPr>
              <w:t>五险案例</w:t>
            </w:r>
            <w:proofErr w:type="gramEnd"/>
            <w:r w:rsidRPr="00FC49C2">
              <w:rPr>
                <w:rFonts w:ascii="仿宋_GB2312" w:eastAsia="仿宋_GB2312" w:hAnsi="宋体" w:cs="宋体" w:hint="eastAsia"/>
                <w:sz w:val="24"/>
              </w:rPr>
              <w:t>解析）（二）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4B48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AC3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</w:t>
            </w:r>
            <w:r w:rsidRPr="00FC49C2">
              <w:rPr>
                <w:rFonts w:ascii="仿宋_GB2312" w:eastAsia="仿宋_GB2312" w:hAnsi="宋体" w:cs="宋体" w:hint="eastAsia"/>
                <w:sz w:val="24"/>
              </w:rPr>
              <w:t>生育保险</w:t>
            </w:r>
          </w:p>
          <w:p w14:paraId="41114F2F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（二）工伤保险</w:t>
            </w:r>
          </w:p>
          <w:p w14:paraId="5017A76C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（三）医疗保险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EC2E9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0E868EBE" w14:textId="77777777" w:rsidTr="008563BC">
        <w:trPr>
          <w:trHeight w:val="2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4DD2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13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4A01F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中国社保体系与实务精解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F8A46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5E13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（一）中国社会保险体系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（二）四类群体四种情形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（三）社保基数实务解读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（四）社保政策发展前瞻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（四）社保违法待遇影响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DACA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庚</w:t>
            </w:r>
            <w:proofErr w:type="gramStart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鑫</w:t>
            </w:r>
            <w:proofErr w:type="gramEnd"/>
          </w:p>
        </w:tc>
      </w:tr>
    </w:tbl>
    <w:p w14:paraId="5B1EC858" w14:textId="77777777" w:rsidR="00172CB8" w:rsidRDefault="00172CB8" w:rsidP="00172CB8">
      <w:pPr>
        <w:spacing w:beforeLines="50" w:before="156"/>
        <w:rPr>
          <w:rFonts w:ascii="楷体_GB2312" w:eastAsia="楷体_GB2312" w:hAnsi="宋体" w:cs="宋体"/>
          <w:b/>
          <w:bCs/>
          <w:sz w:val="28"/>
          <w:szCs w:val="28"/>
        </w:rPr>
      </w:pPr>
    </w:p>
    <w:p w14:paraId="46F8B016" w14:textId="77777777" w:rsidR="00172CB8" w:rsidRDefault="00172CB8" w:rsidP="00172CB8">
      <w:pPr>
        <w:spacing w:beforeLines="50" w:before="156"/>
        <w:rPr>
          <w:rFonts w:ascii="楷体_GB2312" w:eastAsia="楷体_GB2312" w:hAnsi="宋体" w:cs="宋体"/>
          <w:b/>
          <w:bCs/>
          <w:sz w:val="28"/>
          <w:szCs w:val="28"/>
        </w:rPr>
      </w:pPr>
    </w:p>
    <w:p w14:paraId="4D8806D8" w14:textId="77777777" w:rsidR="00172CB8" w:rsidRPr="00AA0CBA" w:rsidRDefault="00172CB8" w:rsidP="00172CB8">
      <w:pPr>
        <w:spacing w:beforeLines="50" w:before="156"/>
        <w:rPr>
          <w:rFonts w:ascii="楷体_GB2312" w:eastAsia="楷体_GB2312" w:hAnsi="宋体" w:cs="宋体" w:hint="eastAsia"/>
          <w:b/>
          <w:bCs/>
          <w:sz w:val="28"/>
          <w:szCs w:val="28"/>
        </w:rPr>
      </w:pPr>
      <w:r w:rsidRPr="00AA0CBA">
        <w:rPr>
          <w:rFonts w:ascii="楷体_GB2312" w:eastAsia="楷体_GB2312" w:hAnsi="宋体" w:cs="宋体" w:hint="eastAsia"/>
          <w:b/>
          <w:bCs/>
          <w:sz w:val="28"/>
          <w:szCs w:val="28"/>
        </w:rPr>
        <w:t>第四期：效益提升与职业发展专题培训（12月1日至12月20日）</w:t>
      </w:r>
    </w:p>
    <w:tbl>
      <w:tblPr>
        <w:tblW w:w="91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2916"/>
        <w:gridCol w:w="709"/>
        <w:gridCol w:w="3940"/>
        <w:gridCol w:w="1230"/>
      </w:tblGrid>
      <w:tr w:rsidR="00172CB8" w:rsidRPr="00FC49C2" w14:paraId="2CDFD540" w14:textId="77777777" w:rsidTr="008563BC">
        <w:trPr>
          <w:trHeight w:val="570"/>
          <w:jc w:val="center"/>
        </w:trPr>
        <w:tc>
          <w:tcPr>
            <w:tcW w:w="3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B77E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437F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科目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46849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sz w:val="24"/>
              </w:rPr>
              <w:t>学时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172BE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内容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B9BAB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bCs/>
                <w:sz w:val="24"/>
              </w:rPr>
            </w:pPr>
            <w:r w:rsidRPr="00FC49C2">
              <w:rPr>
                <w:rFonts w:ascii="黑体" w:eastAsia="黑体" w:hAnsi="黑体" w:cs="宋体" w:hint="eastAsia"/>
                <w:bCs/>
                <w:kern w:val="0"/>
                <w:sz w:val="24"/>
                <w:lang w:bidi="ar"/>
              </w:rPr>
              <w:t>授课教师</w:t>
            </w:r>
          </w:p>
        </w:tc>
      </w:tr>
      <w:tr w:rsidR="00172CB8" w:rsidRPr="00FC49C2" w14:paraId="2A0EA19A" w14:textId="77777777" w:rsidTr="008563BC">
        <w:trPr>
          <w:trHeight w:val="601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4C1D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CCA18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绩效管理方法论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B9A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C520D" w14:textId="77777777" w:rsidR="00172CB8" w:rsidRPr="00FC49C2" w:rsidRDefault="00172CB8" w:rsidP="008563BC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（一）绩效管理概述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（二）绩效计划与绩效监控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48568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李宝莹</w:t>
            </w:r>
          </w:p>
        </w:tc>
      </w:tr>
      <w:tr w:rsidR="00172CB8" w:rsidRPr="00FC49C2" w14:paraId="7ED147D3" w14:textId="77777777" w:rsidTr="008563BC">
        <w:trPr>
          <w:trHeight w:val="601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A5AFA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0EDFB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企业如何提升绩效管理水平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682C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33EBD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（三）绩效评价与绩效管理工具</w:t>
            </w: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（四）绩效反馈与结果应用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AD8F0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58F60B06" w14:textId="77777777" w:rsidTr="008563BC">
        <w:trPr>
          <w:trHeight w:val="601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D6549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37045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职业生涯规划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6DD3C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21C4B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（一）职业生涯规划对用人单位和个人的作用和意义</w:t>
            </w:r>
          </w:p>
          <w:p w14:paraId="60B42663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（二）职业生涯设计方法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18631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7912ECC5" w14:textId="77777777" w:rsidTr="008563BC">
        <w:trPr>
          <w:trHeight w:val="601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1BD84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07714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企业职业生涯管理方法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4F324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05A62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（三）典型行业和岗位的职业生涯管理分析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452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72CB8" w:rsidRPr="00FC49C2" w14:paraId="79299940" w14:textId="77777777" w:rsidTr="008563BC">
        <w:trPr>
          <w:trHeight w:val="601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23375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CECF0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绩效管理中的高效沟通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AA070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995B9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（一）高效沟通的认知和方法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1940D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proofErr w:type="gramStart"/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梁勤</w:t>
            </w:r>
            <w:proofErr w:type="gramEnd"/>
          </w:p>
        </w:tc>
      </w:tr>
      <w:tr w:rsidR="00172CB8" w:rsidRPr="00FC49C2" w14:paraId="3E44138C" w14:textId="77777777" w:rsidTr="008563BC">
        <w:trPr>
          <w:trHeight w:val="601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270F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4"/>
              </w:rPr>
            </w:pPr>
            <w:r w:rsidRPr="00FC49C2"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C3933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高效沟通打造高绩效团队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B2FB3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19529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（二）如何与不同风格的领导沟通</w:t>
            </w:r>
          </w:p>
          <w:p w14:paraId="3924030A" w14:textId="77777777" w:rsidR="00172CB8" w:rsidRPr="00FC49C2" w:rsidRDefault="00172CB8" w:rsidP="008563BC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  <w:r w:rsidRPr="00FC49C2"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（三）如何与下属沟通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55E01" w14:textId="77777777" w:rsidR="00172CB8" w:rsidRPr="00FC49C2" w:rsidRDefault="00172CB8" w:rsidP="008563B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</w:pPr>
          </w:p>
        </w:tc>
      </w:tr>
    </w:tbl>
    <w:p w14:paraId="54AEAAC3" w14:textId="77777777" w:rsidR="00172CB8" w:rsidRDefault="00172CB8" w:rsidP="00172CB8">
      <w:pPr>
        <w:pStyle w:val="a7"/>
        <w:widowControl/>
        <w:spacing w:line="300" w:lineRule="exact"/>
        <w:ind w:firstLineChars="200" w:firstLine="480"/>
        <w:jc w:val="both"/>
        <w:rPr>
          <w:rFonts w:ascii="宋体" w:eastAsia="宋体" w:hAnsi="宋体" w:cs="宋体" w:hint="eastAsia"/>
          <w:bCs/>
          <w:color w:val="3E3A39"/>
          <w:sz w:val="24"/>
          <w:szCs w:val="24"/>
        </w:rPr>
      </w:pPr>
    </w:p>
    <w:p w14:paraId="394AA573" w14:textId="77777777" w:rsidR="0024244D" w:rsidRPr="00172CB8" w:rsidRDefault="0024244D"/>
    <w:sectPr w:rsidR="0024244D" w:rsidRPr="00172CB8" w:rsidSect="00741F8C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4EB04" w14:textId="77777777" w:rsidR="00984398" w:rsidRDefault="00984398" w:rsidP="00172CB8">
      <w:r>
        <w:separator/>
      </w:r>
    </w:p>
  </w:endnote>
  <w:endnote w:type="continuationSeparator" w:id="0">
    <w:p w14:paraId="17EF263A" w14:textId="77777777" w:rsidR="00984398" w:rsidRDefault="00984398" w:rsidP="0017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9F0ED" w14:textId="77777777" w:rsidR="00B86691" w:rsidRPr="00B86691" w:rsidRDefault="00984398" w:rsidP="00B86691">
    <w:pPr>
      <w:pStyle w:val="a5"/>
      <w:jc w:val="center"/>
      <w:rPr>
        <w:rFonts w:hint="eastAsia"/>
        <w:sz w:val="21"/>
        <w:szCs w:val="32"/>
      </w:rPr>
    </w:pPr>
    <w:r w:rsidRPr="00B86691">
      <w:rPr>
        <w:sz w:val="21"/>
        <w:szCs w:val="32"/>
      </w:rPr>
      <w:fldChar w:fldCharType="begin"/>
    </w:r>
    <w:r w:rsidRPr="00B86691">
      <w:rPr>
        <w:sz w:val="21"/>
        <w:szCs w:val="32"/>
      </w:rPr>
      <w:instrText>PAGE   \* MERGEFORMAT</w:instrText>
    </w:r>
    <w:r w:rsidRPr="00B86691">
      <w:rPr>
        <w:sz w:val="21"/>
        <w:szCs w:val="32"/>
      </w:rPr>
      <w:fldChar w:fldCharType="separate"/>
    </w:r>
    <w:r w:rsidRPr="00B86691">
      <w:rPr>
        <w:sz w:val="21"/>
        <w:szCs w:val="32"/>
        <w:lang w:val="zh-CN"/>
      </w:rPr>
      <w:t>2</w:t>
    </w:r>
    <w:r w:rsidRPr="00B86691">
      <w:rPr>
        <w:sz w:val="21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AC980" w14:textId="77777777" w:rsidR="00984398" w:rsidRDefault="00984398" w:rsidP="00172CB8">
      <w:r>
        <w:separator/>
      </w:r>
    </w:p>
  </w:footnote>
  <w:footnote w:type="continuationSeparator" w:id="0">
    <w:p w14:paraId="1124F2A8" w14:textId="77777777" w:rsidR="00984398" w:rsidRDefault="00984398" w:rsidP="00172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18"/>
    <w:rsid w:val="00172CB8"/>
    <w:rsid w:val="0024244D"/>
    <w:rsid w:val="00984398"/>
    <w:rsid w:val="00B8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8D0CE-8F89-4850-A7A7-D3A2B4C1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CB8"/>
    <w:rPr>
      <w:sz w:val="18"/>
      <w:szCs w:val="18"/>
    </w:rPr>
  </w:style>
  <w:style w:type="paragraph" w:styleId="a7">
    <w:name w:val="Normal (Web)"/>
    <w:basedOn w:val="a"/>
    <w:rsid w:val="00172CB8"/>
    <w:pPr>
      <w:jc w:val="left"/>
    </w:pPr>
    <w:rPr>
      <w:rFonts w:ascii="Helvetica" w:eastAsia="Helvetica" w:hAnsi="Helvetica"/>
      <w:color w:val="474747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2020-08-26T09:33:00Z</dcterms:created>
  <dcterms:modified xsi:type="dcterms:W3CDTF">2020-08-26T09:34:00Z</dcterms:modified>
</cp:coreProperties>
</file>